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54E" w:rsidRPr="000C554E" w:rsidRDefault="000C554E" w:rsidP="006A4A8F">
      <w:pPr>
        <w:spacing w:after="0" w:line="240" w:lineRule="auto"/>
        <w:rPr>
          <w:rFonts w:ascii="Times New Roman" w:eastAsia="Times New Roman" w:hAnsi="Times New Roman" w:cs="Times New Roman"/>
          <w:b/>
          <w:sz w:val="24"/>
          <w:szCs w:val="24"/>
          <w:u w:val="single"/>
          <w:lang w:eastAsia="fr-FR"/>
        </w:rPr>
      </w:pPr>
      <w:proofErr w:type="spellStart"/>
      <w:r w:rsidRPr="000C554E">
        <w:rPr>
          <w:rFonts w:ascii="Times New Roman" w:eastAsia="Times New Roman" w:hAnsi="Times New Roman" w:cs="Times New Roman"/>
          <w:b/>
          <w:sz w:val="24"/>
          <w:szCs w:val="24"/>
          <w:u w:val="single"/>
          <w:lang w:eastAsia="fr-FR"/>
        </w:rPr>
        <w:t>C</w:t>
      </w:r>
      <w:r w:rsidR="00BA1F78">
        <w:rPr>
          <w:rFonts w:ascii="Times New Roman" w:eastAsia="Times New Roman" w:hAnsi="Times New Roman" w:cs="Times New Roman"/>
          <w:b/>
          <w:sz w:val="24"/>
          <w:szCs w:val="24"/>
          <w:u w:val="single"/>
          <w:lang w:eastAsia="fr-FR"/>
        </w:rPr>
        <w:t>iv</w:t>
      </w:r>
      <w:proofErr w:type="spellEnd"/>
      <w:r w:rsidR="00BA1F78">
        <w:rPr>
          <w:rFonts w:ascii="Times New Roman" w:eastAsia="Times New Roman" w:hAnsi="Times New Roman" w:cs="Times New Roman"/>
          <w:b/>
          <w:sz w:val="24"/>
          <w:szCs w:val="24"/>
          <w:u w:val="single"/>
          <w:lang w:eastAsia="fr-FR"/>
        </w:rPr>
        <w:t>. 1</w:t>
      </w:r>
      <w:r w:rsidR="00BA1F78" w:rsidRPr="00BA1F78">
        <w:rPr>
          <w:rFonts w:ascii="Times New Roman" w:eastAsia="Times New Roman" w:hAnsi="Times New Roman" w:cs="Times New Roman"/>
          <w:b/>
          <w:sz w:val="24"/>
          <w:szCs w:val="24"/>
          <w:u w:val="single"/>
          <w:vertAlign w:val="superscript"/>
          <w:lang w:eastAsia="fr-FR"/>
        </w:rPr>
        <w:t>ère</w:t>
      </w:r>
      <w:r w:rsidR="00BA1F78">
        <w:rPr>
          <w:rFonts w:ascii="Times New Roman" w:eastAsia="Times New Roman" w:hAnsi="Times New Roman" w:cs="Times New Roman"/>
          <w:b/>
          <w:sz w:val="24"/>
          <w:szCs w:val="24"/>
          <w:u w:val="single"/>
          <w:lang w:eastAsia="fr-FR"/>
        </w:rPr>
        <w:t>, 12 octobre</w:t>
      </w:r>
      <w:r w:rsidRPr="000C554E">
        <w:rPr>
          <w:rFonts w:ascii="Times New Roman" w:eastAsia="Times New Roman" w:hAnsi="Times New Roman" w:cs="Times New Roman"/>
          <w:b/>
          <w:sz w:val="24"/>
          <w:szCs w:val="24"/>
          <w:u w:val="single"/>
          <w:lang w:eastAsia="fr-FR"/>
        </w:rPr>
        <w:t xml:space="preserve"> 2016</w:t>
      </w:r>
    </w:p>
    <w:p w:rsidR="000C554E" w:rsidRDefault="000C554E" w:rsidP="006A4A8F">
      <w:pPr>
        <w:spacing w:after="0" w:line="240" w:lineRule="auto"/>
        <w:rPr>
          <w:rFonts w:ascii="Times New Roman" w:eastAsia="Times New Roman" w:hAnsi="Times New Roman" w:cs="Times New Roman"/>
          <w:sz w:val="24"/>
          <w:szCs w:val="24"/>
          <w:lang w:eastAsia="fr-FR"/>
        </w:rPr>
      </w:pPr>
    </w:p>
    <w:p w:rsidR="0047292A" w:rsidRDefault="0047292A" w:rsidP="000C554E">
      <w:pPr>
        <w:jc w:val="both"/>
        <w:rPr>
          <w:rFonts w:ascii="Times New Roman" w:hAnsi="Times New Roman" w:cs="Times New Roman"/>
          <w:sz w:val="24"/>
          <w:szCs w:val="24"/>
        </w:rPr>
      </w:pPr>
      <w:r w:rsidRPr="0047292A">
        <w:rPr>
          <w:rFonts w:ascii="Times New Roman" w:hAnsi="Times New Roman" w:cs="Times New Roman"/>
          <w:sz w:val="24"/>
          <w:szCs w:val="24"/>
        </w:rPr>
        <w:t xml:space="preserve">Attendu, selon l'arrêt attaqué, qu'à la suite de l'arthrographie d'une épaule, réalisée le 23 février 2007 par M. X..., radiologue, exerçant son activité à titre libéral au sein de la société civile de moyens Centre de radiologie Adoue-Henri IV (le centre de radiologie), M. Y... a présenté une arthrite septique d'origine nosocomiale, dont il a gardé des séquelles ; qu'il a assigné en responsabilité et indemnisation M. X..., le centre de radiologie et la société La Médicale de France, leur assureur ; </w:t>
      </w:r>
    </w:p>
    <w:p w:rsidR="0047292A" w:rsidRPr="0047292A" w:rsidRDefault="0047292A" w:rsidP="000C554E">
      <w:pPr>
        <w:jc w:val="both"/>
        <w:rPr>
          <w:rFonts w:ascii="Times New Roman" w:hAnsi="Times New Roman" w:cs="Times New Roman"/>
          <w:sz w:val="24"/>
          <w:szCs w:val="24"/>
        </w:rPr>
      </w:pPr>
      <w:r w:rsidRPr="0047292A">
        <w:rPr>
          <w:rFonts w:ascii="Times New Roman" w:hAnsi="Times New Roman" w:cs="Times New Roman"/>
          <w:sz w:val="24"/>
          <w:szCs w:val="24"/>
        </w:rPr>
        <w:t>Sur le moyen unique du pourvoi incident, pris en sa première branche :</w:t>
      </w:r>
    </w:p>
    <w:p w:rsidR="0047292A" w:rsidRPr="0047292A" w:rsidRDefault="0047292A" w:rsidP="000C554E">
      <w:pPr>
        <w:jc w:val="both"/>
        <w:rPr>
          <w:rFonts w:ascii="Times New Roman" w:hAnsi="Times New Roman" w:cs="Times New Roman"/>
          <w:sz w:val="24"/>
          <w:szCs w:val="24"/>
        </w:rPr>
      </w:pPr>
      <w:r w:rsidRPr="0047292A">
        <w:rPr>
          <w:rFonts w:ascii="Times New Roman" w:hAnsi="Times New Roman" w:cs="Times New Roman"/>
          <w:sz w:val="24"/>
          <w:szCs w:val="24"/>
        </w:rPr>
        <w:t>Attendu que M. Y... fait grief à l'arrêt de mettre hors de cause M. X..., en l'absence de faute à l'origine de l'infection nosocomiale, alors, selon le moyen, que l'article L. 1142-1, I, alinéa 1er, du code de la santé publique est contraire au principe d'égalité des citoyens devant la loi constitutionnellement garanti par l'article 6 de la Déclaration des droits de l'homme et du citoyen en tant qu'il oblige le patient, en matière d'infection nosocomiale, à rapporter la preuve d'une faute du professionnel de santé, alors que l'alinéa 2 du même texte prévoit, en cette même matière, une responsabilité de plein droit de tout établissement, service ou organisme dans lesquels sont réalisés des actes individuels de prévention, de diagnostic ou de soins ; qu'à la suite de la déclaration d'inconstitutionnalité de ces dispositions qui interviendra, l'arrêt attaqué se trouvera privé de base légale au regard des dispositions constitutionnelles susvisées ;</w:t>
      </w:r>
    </w:p>
    <w:p w:rsidR="0047292A" w:rsidRPr="0047292A" w:rsidRDefault="0047292A" w:rsidP="000C554E">
      <w:pPr>
        <w:jc w:val="both"/>
        <w:rPr>
          <w:rFonts w:ascii="Times New Roman" w:hAnsi="Times New Roman" w:cs="Times New Roman"/>
          <w:sz w:val="24"/>
          <w:szCs w:val="24"/>
        </w:rPr>
      </w:pPr>
      <w:r w:rsidRPr="0047292A">
        <w:rPr>
          <w:rFonts w:ascii="Times New Roman" w:hAnsi="Times New Roman" w:cs="Times New Roman"/>
          <w:sz w:val="24"/>
          <w:szCs w:val="24"/>
        </w:rPr>
        <w:t>Mais attendu que, par sa décision n° 2016-531 QPC du 1er avril 2016, qui s'impose, en application de l'article 62, alinéa 3, de la Constitution, à toutes les autorités juridictionnelles, le Conseil constitutionnel a déclaré conforme à celle-ci l'article L. 1142-1, I, alinéa 2, du code de la santé publique ; que, dès lors, le moyen ne peut être accueilli ;</w:t>
      </w:r>
    </w:p>
    <w:p w:rsidR="0047292A" w:rsidRPr="0047292A" w:rsidRDefault="0047292A" w:rsidP="000C554E">
      <w:pPr>
        <w:jc w:val="both"/>
        <w:rPr>
          <w:rFonts w:ascii="Times New Roman" w:hAnsi="Times New Roman" w:cs="Times New Roman"/>
          <w:sz w:val="24"/>
          <w:szCs w:val="24"/>
        </w:rPr>
      </w:pPr>
      <w:r w:rsidRPr="0047292A">
        <w:rPr>
          <w:rFonts w:ascii="Times New Roman" w:hAnsi="Times New Roman" w:cs="Times New Roman"/>
          <w:sz w:val="24"/>
          <w:szCs w:val="24"/>
        </w:rPr>
        <w:t xml:space="preserve">Sur le second moyen du pourvoi principal et sur le moyen unique du pourvoi incident, pris en sa deuxième branche, ci-après annexés : </w:t>
      </w:r>
    </w:p>
    <w:p w:rsidR="0047292A" w:rsidRPr="0047292A" w:rsidRDefault="0047292A" w:rsidP="000C554E">
      <w:pPr>
        <w:jc w:val="both"/>
        <w:rPr>
          <w:rFonts w:ascii="Times New Roman" w:hAnsi="Times New Roman" w:cs="Times New Roman"/>
          <w:sz w:val="24"/>
          <w:szCs w:val="24"/>
        </w:rPr>
      </w:pPr>
      <w:r w:rsidRPr="0047292A">
        <w:rPr>
          <w:rFonts w:ascii="Times New Roman" w:hAnsi="Times New Roman" w:cs="Times New Roman"/>
          <w:sz w:val="24"/>
          <w:szCs w:val="24"/>
        </w:rPr>
        <w:t xml:space="preserve">Attendu que ces moyens ne sont manifestement pas de nature à entraîner la cassation ; </w:t>
      </w:r>
    </w:p>
    <w:p w:rsidR="0047292A" w:rsidRPr="0047292A" w:rsidRDefault="0047292A" w:rsidP="000C554E">
      <w:pPr>
        <w:jc w:val="both"/>
        <w:rPr>
          <w:rFonts w:ascii="Times New Roman" w:hAnsi="Times New Roman" w:cs="Times New Roman"/>
          <w:sz w:val="24"/>
          <w:szCs w:val="24"/>
        </w:rPr>
      </w:pPr>
      <w:r w:rsidRPr="0047292A">
        <w:rPr>
          <w:rFonts w:ascii="Times New Roman" w:hAnsi="Times New Roman" w:cs="Times New Roman"/>
          <w:sz w:val="24"/>
          <w:szCs w:val="24"/>
        </w:rPr>
        <w:t xml:space="preserve">Mais sur le premier moyen du pourvoi principal : </w:t>
      </w:r>
    </w:p>
    <w:p w:rsidR="0047292A" w:rsidRPr="0047292A" w:rsidRDefault="0047292A" w:rsidP="000C554E">
      <w:pPr>
        <w:jc w:val="both"/>
        <w:rPr>
          <w:rFonts w:ascii="Times New Roman" w:hAnsi="Times New Roman" w:cs="Times New Roman"/>
          <w:sz w:val="24"/>
          <w:szCs w:val="24"/>
        </w:rPr>
      </w:pPr>
      <w:r w:rsidRPr="0047292A">
        <w:rPr>
          <w:rFonts w:ascii="Times New Roman" w:hAnsi="Times New Roman" w:cs="Times New Roman"/>
          <w:sz w:val="24"/>
          <w:szCs w:val="24"/>
        </w:rPr>
        <w:t xml:space="preserve">Vu les articles L. 1142-1, I, du code de la santé publique et 36 de la loi du n° 66-879 du 29 novembre 1966 ; </w:t>
      </w:r>
    </w:p>
    <w:p w:rsidR="0047292A" w:rsidRPr="0047292A" w:rsidRDefault="0047292A" w:rsidP="000C554E">
      <w:pPr>
        <w:jc w:val="both"/>
        <w:rPr>
          <w:rFonts w:ascii="Times New Roman" w:hAnsi="Times New Roman" w:cs="Times New Roman"/>
          <w:sz w:val="24"/>
          <w:szCs w:val="24"/>
        </w:rPr>
      </w:pPr>
      <w:r w:rsidRPr="0047292A">
        <w:rPr>
          <w:rFonts w:ascii="Times New Roman" w:hAnsi="Times New Roman" w:cs="Times New Roman"/>
          <w:sz w:val="24"/>
          <w:szCs w:val="24"/>
        </w:rPr>
        <w:t xml:space="preserve">Attendu qu'il résulte du premier de ces textes, que seuls les établissements, services et organismes dans lesquels sont réalisés des actes individuels de prévention, de diagnostic ou de soins sont responsables des dommages résultant d'infections nosocomiales, sauf s'ils rapportent la preuve d'une cause étrangère ; qu'une société civile de moyens, ayant, selon le second de ces textes, pour objet exclusif de faciliter à chacun de ses membres l'exercice de sa profession, sans possibilité de l'exercer elle-même, ne constitue pas l'une des structures auxquelles s'applique un régime de responsabilité de plein droit pour les infections nosocomiales qui y sont survenues ; </w:t>
      </w:r>
      <w:r w:rsidRPr="0047292A">
        <w:rPr>
          <w:rFonts w:ascii="Times New Roman" w:hAnsi="Times New Roman" w:cs="Times New Roman"/>
          <w:sz w:val="24"/>
          <w:szCs w:val="24"/>
        </w:rPr>
        <w:br/>
      </w:r>
      <w:r w:rsidRPr="0047292A">
        <w:rPr>
          <w:rFonts w:ascii="Times New Roman" w:hAnsi="Times New Roman" w:cs="Times New Roman"/>
          <w:sz w:val="24"/>
          <w:szCs w:val="24"/>
        </w:rPr>
        <w:br/>
      </w:r>
      <w:r w:rsidRPr="0047292A">
        <w:rPr>
          <w:rFonts w:ascii="Times New Roman" w:hAnsi="Times New Roman" w:cs="Times New Roman"/>
          <w:sz w:val="24"/>
          <w:szCs w:val="24"/>
        </w:rPr>
        <w:lastRenderedPageBreak/>
        <w:t xml:space="preserve">Attendu que, pour déclarer le centre de radiologie responsable du préjudice subi par M. Y... au titre de l'infection nosocomiale dont il a été victime et le condamner in </w:t>
      </w:r>
      <w:proofErr w:type="spellStart"/>
      <w:r w:rsidRPr="0047292A">
        <w:rPr>
          <w:rFonts w:ascii="Times New Roman" w:hAnsi="Times New Roman" w:cs="Times New Roman"/>
          <w:sz w:val="24"/>
          <w:szCs w:val="24"/>
        </w:rPr>
        <w:t>solidum</w:t>
      </w:r>
      <w:proofErr w:type="spellEnd"/>
      <w:r w:rsidRPr="0047292A">
        <w:rPr>
          <w:rFonts w:ascii="Times New Roman" w:hAnsi="Times New Roman" w:cs="Times New Roman"/>
          <w:sz w:val="24"/>
          <w:szCs w:val="24"/>
        </w:rPr>
        <w:t xml:space="preserve"> avec la société La Médicale de France à indemniser l'intéressé, l'arrêt relève que l'acte à l'origine de l'infection a été réalisé dans les locaux du centre de radiologie, à l'aide de son matériel et avec l'assistance de son personnel, que l'article L. 1142-1 du code de la santé publique ne vise pas les « établissements de santé », tels qu'ils sont définis aux articles L. 6111-1 et suivants du même code, qu'il étend la responsabilité de plein droit en matière d'infections nosocomiales à des établissements, services ou organismes dont il ne donne aucune définition et qui, faute de référence légale expresse, ne sont pas nécessairement des établissements de santé au sens de la loi, mais des établissements au sein desquels sont réalisés des actes individuels de prévention, de diagnostic ou de soins, qu'un centre de radiologie, organisé sous la forme d'une société civile de moyens, ne peut se comparer à un cabinet médical où exercerait à titre libéral un seul médecin et être soumis à une responsabilité pour faute qui serait, en outre, contraire à l'esprit de la loi, et à l'égalité des patients devant celle-ci, et qu'il en résulte que le centre de radiologie répond à la définition de l'article L. 1142-1, I, nonobstant sa forme de société civile de moyens ; </w:t>
      </w:r>
    </w:p>
    <w:p w:rsidR="0047292A" w:rsidRPr="0047292A" w:rsidRDefault="0047292A" w:rsidP="000C554E">
      <w:pPr>
        <w:jc w:val="both"/>
        <w:rPr>
          <w:rFonts w:ascii="Times New Roman" w:hAnsi="Times New Roman" w:cs="Times New Roman"/>
          <w:sz w:val="24"/>
          <w:szCs w:val="24"/>
        </w:rPr>
      </w:pPr>
      <w:r w:rsidRPr="0047292A">
        <w:rPr>
          <w:rFonts w:ascii="Times New Roman" w:hAnsi="Times New Roman" w:cs="Times New Roman"/>
          <w:sz w:val="24"/>
          <w:szCs w:val="24"/>
        </w:rPr>
        <w:t xml:space="preserve">Qu'en statuant ainsi, la cour d'appel a violé les textes susvisés ; </w:t>
      </w:r>
    </w:p>
    <w:p w:rsidR="0047292A" w:rsidRPr="0047292A" w:rsidRDefault="0047292A" w:rsidP="000C554E">
      <w:pPr>
        <w:jc w:val="both"/>
        <w:rPr>
          <w:rFonts w:ascii="Times New Roman" w:hAnsi="Times New Roman" w:cs="Times New Roman"/>
          <w:sz w:val="24"/>
          <w:szCs w:val="24"/>
        </w:rPr>
      </w:pPr>
      <w:r w:rsidRPr="0047292A">
        <w:rPr>
          <w:rFonts w:ascii="Times New Roman" w:hAnsi="Times New Roman" w:cs="Times New Roman"/>
          <w:sz w:val="24"/>
          <w:szCs w:val="24"/>
        </w:rPr>
        <w:t>Et sur la troisième branche du moyen unique du pourvoi incident :</w:t>
      </w:r>
    </w:p>
    <w:p w:rsidR="0047292A" w:rsidRPr="0047292A" w:rsidRDefault="0047292A" w:rsidP="000C554E">
      <w:pPr>
        <w:jc w:val="both"/>
        <w:rPr>
          <w:rFonts w:ascii="Times New Roman" w:hAnsi="Times New Roman" w:cs="Times New Roman"/>
          <w:sz w:val="24"/>
          <w:szCs w:val="24"/>
        </w:rPr>
      </w:pPr>
      <w:r w:rsidRPr="0047292A">
        <w:rPr>
          <w:rFonts w:ascii="Times New Roman" w:hAnsi="Times New Roman" w:cs="Times New Roman"/>
          <w:sz w:val="24"/>
          <w:szCs w:val="24"/>
        </w:rPr>
        <w:t xml:space="preserve">Vu les articles L. 1111-2 et L. 1142-1, I, alinéa 1er, du code de la santé publique ; </w:t>
      </w:r>
    </w:p>
    <w:p w:rsidR="0047292A" w:rsidRPr="0047292A" w:rsidRDefault="0047292A" w:rsidP="000C554E">
      <w:pPr>
        <w:jc w:val="both"/>
        <w:rPr>
          <w:rFonts w:ascii="Times New Roman" w:hAnsi="Times New Roman" w:cs="Times New Roman"/>
          <w:sz w:val="24"/>
          <w:szCs w:val="24"/>
        </w:rPr>
      </w:pPr>
      <w:r w:rsidRPr="0047292A">
        <w:rPr>
          <w:rFonts w:ascii="Times New Roman" w:hAnsi="Times New Roman" w:cs="Times New Roman"/>
          <w:sz w:val="24"/>
          <w:szCs w:val="24"/>
        </w:rPr>
        <w:t xml:space="preserve">Attendu que, selon le premier de ces textes, toute personne a le droit d'être informée sur son état de santé, que cette information porte sur les différentes investigations, traitements ou actions de prévention qui sont proposés, leur utilité, leur urgence éventuelle, leurs conséquences, les risques fréquents ou graves normalement prévisibles qu'ils comportent ainsi que sur les autres solutions possibles et sur les conséquences prévisibles en cas de refus ; qu'un risque grave scientifiquement connu à la date des soins comme étant en rapport avec l'intervention ou le traitement envisagés, constitue, même s'il ne se réalise qu'exceptionnellement, un risque normalement prévisible ; </w:t>
      </w:r>
    </w:p>
    <w:p w:rsidR="0047292A" w:rsidRPr="0047292A" w:rsidRDefault="0047292A" w:rsidP="000C554E">
      <w:pPr>
        <w:jc w:val="both"/>
        <w:rPr>
          <w:rFonts w:ascii="Times New Roman" w:hAnsi="Times New Roman" w:cs="Times New Roman"/>
          <w:sz w:val="24"/>
          <w:szCs w:val="24"/>
        </w:rPr>
      </w:pPr>
      <w:r w:rsidRPr="0047292A">
        <w:rPr>
          <w:rFonts w:ascii="Times New Roman" w:hAnsi="Times New Roman" w:cs="Times New Roman"/>
          <w:sz w:val="24"/>
          <w:szCs w:val="24"/>
        </w:rPr>
        <w:t xml:space="preserve">Attendu que, pour rejeter la demande de M. Y... en réparation du préjudice résultant d'un défaut d'information, l'arrêt relève que le risque d'arthrite septique lié à la réalisation d'un </w:t>
      </w:r>
      <w:proofErr w:type="spellStart"/>
      <w:r w:rsidRPr="0047292A">
        <w:rPr>
          <w:rFonts w:ascii="Times New Roman" w:hAnsi="Times New Roman" w:cs="Times New Roman"/>
          <w:sz w:val="24"/>
          <w:szCs w:val="24"/>
        </w:rPr>
        <w:t>arthroscanner</w:t>
      </w:r>
      <w:proofErr w:type="spellEnd"/>
      <w:r w:rsidRPr="0047292A">
        <w:rPr>
          <w:rFonts w:ascii="Times New Roman" w:hAnsi="Times New Roman" w:cs="Times New Roman"/>
          <w:sz w:val="24"/>
          <w:szCs w:val="24"/>
        </w:rPr>
        <w:t xml:space="preserve"> constitue un risque exceptionnel, et non un risque fréquent ou grave normalement prévisible, et que le praticien n'avait pas l'obligation d'en informer le patient ; </w:t>
      </w:r>
    </w:p>
    <w:p w:rsidR="0047292A" w:rsidRPr="0047292A" w:rsidRDefault="0047292A" w:rsidP="000C554E">
      <w:pPr>
        <w:jc w:val="both"/>
        <w:rPr>
          <w:rFonts w:ascii="Times New Roman" w:hAnsi="Times New Roman" w:cs="Times New Roman"/>
          <w:sz w:val="24"/>
          <w:szCs w:val="24"/>
        </w:rPr>
      </w:pPr>
      <w:r w:rsidRPr="0047292A">
        <w:rPr>
          <w:rFonts w:ascii="Times New Roman" w:hAnsi="Times New Roman" w:cs="Times New Roman"/>
          <w:sz w:val="24"/>
          <w:szCs w:val="24"/>
        </w:rPr>
        <w:t>Qu'en statuant ainsi, la cour d'appel a violé les textes susvisés ;</w:t>
      </w:r>
    </w:p>
    <w:p w:rsidR="0047292A" w:rsidRPr="0047292A" w:rsidRDefault="0047292A" w:rsidP="000C554E">
      <w:pPr>
        <w:jc w:val="both"/>
        <w:rPr>
          <w:rFonts w:ascii="Times New Roman" w:hAnsi="Times New Roman" w:cs="Times New Roman"/>
          <w:sz w:val="24"/>
          <w:szCs w:val="24"/>
        </w:rPr>
      </w:pPr>
      <w:r w:rsidRPr="0047292A">
        <w:rPr>
          <w:rFonts w:ascii="Times New Roman" w:hAnsi="Times New Roman" w:cs="Times New Roman"/>
          <w:sz w:val="24"/>
          <w:szCs w:val="24"/>
        </w:rPr>
        <w:t>PAR CES MOTIFS :</w:t>
      </w:r>
    </w:p>
    <w:p w:rsidR="006E0FE2" w:rsidRPr="0047292A" w:rsidRDefault="0047292A" w:rsidP="000C554E">
      <w:pPr>
        <w:jc w:val="both"/>
        <w:rPr>
          <w:rFonts w:ascii="Times New Roman" w:hAnsi="Times New Roman" w:cs="Times New Roman"/>
          <w:sz w:val="24"/>
          <w:szCs w:val="24"/>
        </w:rPr>
      </w:pPr>
      <w:r w:rsidRPr="0047292A">
        <w:rPr>
          <w:rFonts w:ascii="Times New Roman" w:hAnsi="Times New Roman" w:cs="Times New Roman"/>
          <w:sz w:val="24"/>
          <w:szCs w:val="24"/>
        </w:rPr>
        <w:t xml:space="preserve">CASSE ET ANNULE, mais seulement en ce qu'il déclare le centre de radiologie responsable du préjudice subi par M. Y... consécutivement à l'infection nosocomiale, en ce qu'il condamne in </w:t>
      </w:r>
      <w:proofErr w:type="spellStart"/>
      <w:r w:rsidRPr="0047292A">
        <w:rPr>
          <w:rFonts w:ascii="Times New Roman" w:hAnsi="Times New Roman" w:cs="Times New Roman"/>
          <w:sz w:val="24"/>
          <w:szCs w:val="24"/>
        </w:rPr>
        <w:t>solidum</w:t>
      </w:r>
      <w:proofErr w:type="spellEnd"/>
      <w:r w:rsidRPr="0047292A">
        <w:rPr>
          <w:rFonts w:ascii="Times New Roman" w:hAnsi="Times New Roman" w:cs="Times New Roman"/>
          <w:sz w:val="24"/>
          <w:szCs w:val="24"/>
        </w:rPr>
        <w:t xml:space="preserve"> le centre et la société La Médicale de France à payer à M. Y... la somme de 135 796,13 euros en réparation des complications liées à cette infection et en ce qu'il met hors de cause M. X... au titre d'un défaut d'information, l'arrêt rendu le 16 décembre 2014, entre les parties, par la cour d'appel de Pau ; remet, en conséquence, sur ces points, la cause et les </w:t>
      </w:r>
      <w:r w:rsidRPr="0047292A">
        <w:rPr>
          <w:rFonts w:ascii="Times New Roman" w:hAnsi="Times New Roman" w:cs="Times New Roman"/>
          <w:sz w:val="24"/>
          <w:szCs w:val="24"/>
        </w:rPr>
        <w:lastRenderedPageBreak/>
        <w:t>parties dans l'état où elles se trouvaient avant ledit arrêt et, pour être fait droit, les renvoie devant la cour d'appel de Bordeaux ;</w:t>
      </w:r>
    </w:p>
    <w:sectPr w:rsidR="006E0FE2" w:rsidRPr="0047292A" w:rsidSect="006E0FE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8762E"/>
    <w:rsid w:val="000B28D9"/>
    <w:rsid w:val="000C554E"/>
    <w:rsid w:val="00355A26"/>
    <w:rsid w:val="0038762E"/>
    <w:rsid w:val="003A39D4"/>
    <w:rsid w:val="0047292A"/>
    <w:rsid w:val="006A4A8F"/>
    <w:rsid w:val="006E0FE2"/>
    <w:rsid w:val="009C653D"/>
    <w:rsid w:val="00BA1F7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FE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3A39D4"/>
  </w:style>
  <w:style w:type="paragraph" w:styleId="NormalWeb">
    <w:name w:val="Normal (Web)"/>
    <w:basedOn w:val="Normal"/>
    <w:uiPriority w:val="99"/>
    <w:semiHidden/>
    <w:unhideWhenUsed/>
    <w:rsid w:val="009C653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339158292">
      <w:bodyDiv w:val="1"/>
      <w:marLeft w:val="0"/>
      <w:marRight w:val="0"/>
      <w:marTop w:val="0"/>
      <w:marBottom w:val="0"/>
      <w:divBdr>
        <w:top w:val="none" w:sz="0" w:space="0" w:color="auto"/>
        <w:left w:val="none" w:sz="0" w:space="0" w:color="auto"/>
        <w:bottom w:val="none" w:sz="0" w:space="0" w:color="auto"/>
        <w:right w:val="none" w:sz="0" w:space="0" w:color="auto"/>
      </w:divBdr>
    </w:div>
    <w:div w:id="694692913">
      <w:bodyDiv w:val="1"/>
      <w:marLeft w:val="0"/>
      <w:marRight w:val="0"/>
      <w:marTop w:val="0"/>
      <w:marBottom w:val="0"/>
      <w:divBdr>
        <w:top w:val="none" w:sz="0" w:space="0" w:color="auto"/>
        <w:left w:val="none" w:sz="0" w:space="0" w:color="auto"/>
        <w:bottom w:val="none" w:sz="0" w:space="0" w:color="auto"/>
        <w:right w:val="none" w:sz="0" w:space="0" w:color="auto"/>
      </w:divBdr>
    </w:div>
    <w:div w:id="95644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5488</Characters>
  <Application>Microsoft Office Word</Application>
  <DocSecurity>0</DocSecurity>
  <Lines>45</Lines>
  <Paragraphs>12</Paragraphs>
  <ScaleCrop>false</ScaleCrop>
  <Company/>
  <LinksUpToDate>false</LinksUpToDate>
  <CharactersWithSpaces>6473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Portable</dc:creator>
  <cp:lastModifiedBy>Portable</cp:lastModifiedBy>
  <cp:revision>3</cp:revision>
  <dcterms:created xsi:type="dcterms:W3CDTF">2017-01-11T22:17:00Z</dcterms:created>
  <dcterms:modified xsi:type="dcterms:W3CDTF">2017-01-11T22:17:00Z</dcterms:modified>
</cp:coreProperties>
</file>